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CF" w:rsidRPr="00535B6A" w:rsidRDefault="00780ACF" w:rsidP="00780ACF">
      <w:pPr>
        <w:adjustRightInd w:val="0"/>
        <w:snapToGrid w:val="0"/>
        <w:spacing w:line="360" w:lineRule="auto"/>
        <w:rPr>
          <w:rFonts w:ascii="仿宋" w:eastAsia="仿宋" w:hAnsi="仿宋" w:cs="仿宋" w:hint="eastAsia"/>
          <w:sz w:val="28"/>
          <w:szCs w:val="24"/>
        </w:rPr>
      </w:pPr>
      <w:r w:rsidRPr="00535B6A">
        <w:rPr>
          <w:rFonts w:ascii="仿宋" w:eastAsia="PMingLiU" w:hAnsi="仿宋" w:cs="仿宋" w:hint="eastAsia"/>
          <w:sz w:val="28"/>
          <w:szCs w:val="24"/>
          <w:lang w:eastAsia="zh-TW"/>
        </w:rPr>
        <w:t>附件</w:t>
      </w:r>
      <w:r w:rsidRPr="00535B6A">
        <w:rPr>
          <w:rFonts w:ascii="仿宋" w:eastAsia="PMingLiU" w:hAnsi="仿宋" w:cs="仿宋"/>
          <w:sz w:val="28"/>
          <w:szCs w:val="24"/>
          <w:lang w:eastAsia="zh-TW"/>
        </w:rPr>
        <w:t>2</w:t>
      </w:r>
      <w:r w:rsidRPr="00535B6A">
        <w:rPr>
          <w:rFonts w:ascii="仿宋" w:eastAsia="PMingLiU" w:hAnsi="仿宋" w:cs="仿宋" w:hint="eastAsia"/>
          <w:sz w:val="28"/>
          <w:szCs w:val="24"/>
          <w:lang w:eastAsia="zh-TW"/>
        </w:rPr>
        <w:t>：</w:t>
      </w:r>
    </w:p>
    <w:p w:rsidR="00780ACF" w:rsidRPr="00535B6A" w:rsidRDefault="00780ACF" w:rsidP="00780ACF">
      <w:pPr>
        <w:adjustRightInd w:val="0"/>
        <w:snapToGrid w:val="0"/>
        <w:spacing w:line="336" w:lineRule="auto"/>
        <w:jc w:val="center"/>
        <w:rPr>
          <w:b/>
          <w:sz w:val="32"/>
          <w:szCs w:val="32"/>
        </w:rPr>
      </w:pPr>
      <w:r w:rsidRPr="00535B6A">
        <w:rPr>
          <w:rFonts w:eastAsia="PMingLiU" w:hint="eastAsia"/>
          <w:b/>
          <w:sz w:val="32"/>
          <w:szCs w:val="32"/>
          <w:lang w:eastAsia="zh-TW"/>
        </w:rPr>
        <w:t>《樂理》考試大綱</w:t>
      </w:r>
    </w:p>
    <w:p w:rsidR="00780ACF" w:rsidRPr="00535B6A" w:rsidRDefault="00780ACF" w:rsidP="00780ACF">
      <w:pPr>
        <w:adjustRightInd w:val="0"/>
        <w:snapToGrid w:val="0"/>
        <w:spacing w:line="336" w:lineRule="auto"/>
        <w:rPr>
          <w:b/>
          <w:sz w:val="24"/>
        </w:rPr>
      </w:pPr>
    </w:p>
    <w:p w:rsidR="00780ACF" w:rsidRPr="00535B6A" w:rsidRDefault="00780ACF" w:rsidP="00780ACF">
      <w:pPr>
        <w:adjustRightInd w:val="0"/>
        <w:snapToGrid w:val="0"/>
        <w:spacing w:line="336" w:lineRule="auto"/>
        <w:rPr>
          <w:b/>
          <w:sz w:val="24"/>
        </w:rPr>
      </w:pPr>
      <w:r w:rsidRPr="00535B6A">
        <w:rPr>
          <w:rFonts w:eastAsia="PMingLiU" w:hint="eastAsia"/>
          <w:b/>
          <w:sz w:val="24"/>
          <w:lang w:eastAsia="zh-TW"/>
        </w:rPr>
        <w:t>一</w:t>
      </w:r>
      <w:r w:rsidRPr="00535B6A">
        <w:rPr>
          <w:rFonts w:hint="eastAsia"/>
          <w:b/>
          <w:sz w:val="24"/>
        </w:rPr>
        <w:t>、</w:t>
      </w:r>
      <w:r w:rsidRPr="00535B6A">
        <w:rPr>
          <w:rFonts w:eastAsia="PMingLiU" w:hint="eastAsia"/>
          <w:b/>
          <w:sz w:val="24"/>
          <w:lang w:eastAsia="zh-TW"/>
        </w:rPr>
        <w:t>考試等級劃分：</w:t>
      </w:r>
    </w:p>
    <w:p w:rsidR="00780ACF" w:rsidRPr="00535B6A" w:rsidRDefault="00780ACF" w:rsidP="00780ACF">
      <w:pPr>
        <w:adjustRightInd w:val="0"/>
        <w:snapToGrid w:val="0"/>
        <w:spacing w:line="336" w:lineRule="auto"/>
        <w:jc w:val="left"/>
        <w:rPr>
          <w:b/>
          <w:szCs w:val="21"/>
        </w:rPr>
      </w:pPr>
      <w:r w:rsidRPr="00535B6A">
        <w:rPr>
          <w:rFonts w:eastAsia="PMingLiU" w:hint="eastAsia"/>
          <w:b/>
          <w:szCs w:val="21"/>
          <w:lang w:eastAsia="zh-TW"/>
        </w:rPr>
        <w:t>根據各專業不同要求</w:t>
      </w:r>
      <w:r w:rsidRPr="00535B6A">
        <w:rPr>
          <w:rFonts w:hint="eastAsia"/>
          <w:b/>
          <w:szCs w:val="21"/>
        </w:rPr>
        <w:t>，</w:t>
      </w:r>
      <w:r w:rsidRPr="00535B6A">
        <w:rPr>
          <w:rFonts w:eastAsia="PMingLiU" w:hint="eastAsia"/>
          <w:b/>
          <w:szCs w:val="21"/>
          <w:lang w:eastAsia="zh-TW"/>
        </w:rPr>
        <w:t>樂理考試分為兩個等級</w:t>
      </w:r>
      <w:r w:rsidRPr="00535B6A">
        <w:rPr>
          <w:rFonts w:hint="eastAsia"/>
          <w:b/>
          <w:szCs w:val="21"/>
        </w:rPr>
        <w:t>。</w:t>
      </w:r>
    </w:p>
    <w:p w:rsidR="00780ACF" w:rsidRPr="00535B6A" w:rsidRDefault="00780ACF" w:rsidP="00780ACF">
      <w:pPr>
        <w:adjustRightInd w:val="0"/>
        <w:snapToGrid w:val="0"/>
        <w:spacing w:line="336" w:lineRule="auto"/>
        <w:rPr>
          <w:b/>
          <w:sz w:val="24"/>
        </w:rPr>
      </w:pPr>
      <w:r w:rsidRPr="00535B6A">
        <w:rPr>
          <w:rFonts w:eastAsia="PMingLiU"/>
          <w:b/>
          <w:sz w:val="24"/>
          <w:lang w:eastAsia="zh-TW"/>
        </w:rPr>
        <w:t>A</w:t>
      </w:r>
      <w:r w:rsidRPr="00535B6A">
        <w:rPr>
          <w:rFonts w:eastAsia="PMingLiU" w:hint="eastAsia"/>
          <w:b/>
          <w:sz w:val="24"/>
          <w:lang w:eastAsia="zh-TW"/>
        </w:rPr>
        <w:t>級程度</w:t>
      </w:r>
    </w:p>
    <w:p w:rsidR="00780ACF" w:rsidRPr="00535B6A" w:rsidRDefault="00780ACF" w:rsidP="00780ACF">
      <w:pPr>
        <w:adjustRightInd w:val="0"/>
        <w:snapToGrid w:val="0"/>
        <w:spacing w:line="336" w:lineRule="auto"/>
        <w:rPr>
          <w:b/>
          <w:sz w:val="24"/>
        </w:rPr>
      </w:pPr>
      <w:r w:rsidRPr="00535B6A">
        <w:rPr>
          <w:rFonts w:eastAsia="PMingLiU" w:hint="eastAsia"/>
          <w:sz w:val="24"/>
          <w:lang w:eastAsia="zh-TW"/>
        </w:rPr>
        <w:t>報考專業</w:t>
      </w:r>
      <w:r w:rsidRPr="00535B6A">
        <w:rPr>
          <w:rFonts w:eastAsia="PMingLiU" w:hint="eastAsia"/>
          <w:b/>
          <w:sz w:val="24"/>
          <w:lang w:eastAsia="zh-TW"/>
        </w:rPr>
        <w:t>——</w:t>
      </w:r>
      <w:r w:rsidRPr="00535B6A">
        <w:rPr>
          <w:rFonts w:eastAsia="PMingLiU" w:hint="eastAsia"/>
          <w:sz w:val="24"/>
          <w:lang w:eastAsia="zh-TW"/>
        </w:rPr>
        <w:t>作曲與作曲技術理論專業</w:t>
      </w:r>
    </w:p>
    <w:p w:rsidR="00780ACF" w:rsidRPr="00535B6A" w:rsidRDefault="00780ACF" w:rsidP="00780ACF">
      <w:pPr>
        <w:adjustRightInd w:val="0"/>
        <w:snapToGrid w:val="0"/>
        <w:spacing w:line="336" w:lineRule="auto"/>
        <w:jc w:val="left"/>
        <w:rPr>
          <w:rFonts w:ascii="宋体" w:hAnsi="宋体" w:cs="宋体"/>
          <w:b/>
          <w:kern w:val="0"/>
          <w:sz w:val="24"/>
        </w:rPr>
      </w:pPr>
      <w:r w:rsidRPr="00535B6A">
        <w:rPr>
          <w:rFonts w:eastAsia="PMingLiU"/>
          <w:b/>
          <w:kern w:val="0"/>
          <w:sz w:val="24"/>
          <w:lang w:eastAsia="zh-TW"/>
        </w:rPr>
        <w:t>B</w:t>
      </w:r>
      <w:r w:rsidRPr="00535B6A">
        <w:rPr>
          <w:rFonts w:ascii="宋体" w:eastAsia="PMingLiU" w:hAnsi="宋体" w:cs="宋体" w:hint="eastAsia"/>
          <w:b/>
          <w:kern w:val="0"/>
          <w:sz w:val="24"/>
          <w:lang w:eastAsia="zh-TW"/>
        </w:rPr>
        <w:t>級程度</w:t>
      </w:r>
    </w:p>
    <w:p w:rsidR="00780ACF" w:rsidRPr="00535B6A" w:rsidRDefault="00780ACF" w:rsidP="00780ACF">
      <w:pPr>
        <w:adjustRightInd w:val="0"/>
        <w:snapToGrid w:val="0"/>
        <w:spacing w:line="336" w:lineRule="auto"/>
        <w:jc w:val="left"/>
        <w:rPr>
          <w:rFonts w:ascii="宋体" w:hAnsi="宋体" w:cs="宋体"/>
          <w:b/>
          <w:kern w:val="0"/>
          <w:szCs w:val="21"/>
        </w:rPr>
      </w:pPr>
      <w:r w:rsidRPr="00535B6A">
        <w:rPr>
          <w:rFonts w:ascii="宋体" w:eastAsia="PMingLiU" w:hAnsi="宋体" w:cs="宋体" w:hint="eastAsia"/>
          <w:kern w:val="0"/>
          <w:sz w:val="24"/>
          <w:lang w:eastAsia="zh-TW"/>
        </w:rPr>
        <w:t>報考專業——音樂表演專業</w:t>
      </w:r>
      <w:r w:rsidRPr="00535B6A">
        <w:rPr>
          <w:rFonts w:ascii="宋体" w:hAnsi="宋体" w:cs="宋体" w:hint="eastAsia"/>
          <w:kern w:val="0"/>
          <w:sz w:val="24"/>
        </w:rPr>
        <w:t>、</w:t>
      </w:r>
      <w:r w:rsidRPr="00535B6A">
        <w:rPr>
          <w:rFonts w:ascii="宋体" w:eastAsia="PMingLiU" w:hAnsi="宋体" w:cs="宋体" w:hint="eastAsia"/>
          <w:kern w:val="0"/>
          <w:sz w:val="24"/>
          <w:lang w:eastAsia="zh-TW"/>
        </w:rPr>
        <w:t>音樂學專業</w:t>
      </w:r>
    </w:p>
    <w:p w:rsidR="00780ACF" w:rsidRPr="00535B6A" w:rsidRDefault="00780ACF" w:rsidP="00780ACF">
      <w:pPr>
        <w:widowControl/>
        <w:adjustRightInd w:val="0"/>
        <w:snapToGrid w:val="0"/>
        <w:spacing w:line="336" w:lineRule="auto"/>
        <w:rPr>
          <w:b/>
        </w:rPr>
      </w:pPr>
    </w:p>
    <w:p w:rsidR="00780ACF" w:rsidRPr="00535B6A" w:rsidRDefault="00780ACF" w:rsidP="00780ACF">
      <w:pPr>
        <w:widowControl/>
        <w:adjustRightInd w:val="0"/>
        <w:snapToGrid w:val="0"/>
        <w:spacing w:line="336" w:lineRule="auto"/>
        <w:rPr>
          <w:rFonts w:ascii="Simsun" w:hAnsi="Simsun" w:cs="宋体"/>
          <w:b/>
          <w:kern w:val="0"/>
          <w:sz w:val="24"/>
        </w:rPr>
      </w:pPr>
      <w:r w:rsidRPr="00535B6A">
        <w:rPr>
          <w:rFonts w:ascii="宋体" w:eastAsia="PMingLiU" w:hAnsi="宋体" w:hint="eastAsia"/>
          <w:b/>
          <w:sz w:val="24"/>
          <w:lang w:eastAsia="zh-TW"/>
        </w:rPr>
        <w:t>二</w:t>
      </w:r>
      <w:r w:rsidRPr="00535B6A">
        <w:rPr>
          <w:rFonts w:ascii="宋体" w:hAnsi="宋体" w:hint="eastAsia"/>
          <w:b/>
          <w:sz w:val="24"/>
        </w:rPr>
        <w:t>、</w:t>
      </w:r>
      <w:r w:rsidRPr="00535B6A">
        <w:rPr>
          <w:rFonts w:ascii="宋体" w:eastAsia="PMingLiU" w:hAnsi="宋体" w:hint="eastAsia"/>
          <w:b/>
          <w:sz w:val="24"/>
          <w:lang w:eastAsia="zh-TW"/>
        </w:rPr>
        <w:t>考試內容與要求</w:t>
      </w:r>
    </w:p>
    <w:p w:rsidR="00780ACF" w:rsidRPr="00535B6A" w:rsidRDefault="00780ACF" w:rsidP="00780ACF">
      <w:pPr>
        <w:adjustRightInd w:val="0"/>
        <w:snapToGrid w:val="0"/>
        <w:spacing w:line="336" w:lineRule="auto"/>
        <w:ind w:left="240" w:hangingChars="100" w:hanging="240"/>
        <w:rPr>
          <w:rFonts w:ascii="宋体" w:hAnsi="宋体" w:cs="宋体"/>
          <w:kern w:val="0"/>
          <w:szCs w:val="21"/>
        </w:rPr>
      </w:pPr>
      <w:r w:rsidRPr="00535B6A">
        <w:rPr>
          <w:rFonts w:eastAsia="PMingLiU"/>
          <w:b/>
          <w:sz w:val="24"/>
          <w:lang w:eastAsia="zh-TW"/>
        </w:rPr>
        <w:t>A</w:t>
      </w:r>
      <w:r w:rsidRPr="00535B6A">
        <w:rPr>
          <w:rFonts w:eastAsia="PMingLiU" w:hint="eastAsia"/>
          <w:b/>
          <w:sz w:val="24"/>
          <w:lang w:eastAsia="zh-TW"/>
        </w:rPr>
        <w:t>級程度</w:t>
      </w:r>
    </w:p>
    <w:p w:rsidR="00780ACF" w:rsidRPr="00535B6A" w:rsidRDefault="00780ACF" w:rsidP="00780ACF">
      <w:pPr>
        <w:adjustRightInd w:val="0"/>
        <w:snapToGrid w:val="0"/>
        <w:spacing w:line="336" w:lineRule="auto"/>
        <w:ind w:left="525" w:hangingChars="250" w:hanging="525"/>
        <w:rPr>
          <w:rFonts w:ascii="宋体" w:hAnsi="宋体" w:cs="宋体"/>
          <w:kern w:val="0"/>
          <w:szCs w:val="21"/>
        </w:rPr>
      </w:pP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（</w:t>
      </w:r>
      <w:r w:rsidRPr="00535B6A">
        <w:rPr>
          <w:rFonts w:eastAsia="PMingLiU"/>
          <w:kern w:val="0"/>
          <w:szCs w:val="21"/>
          <w:lang w:eastAsia="zh-TW"/>
        </w:rPr>
        <w:t>1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）聲學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律學基礎知識</w:t>
      </w:r>
      <w:r w:rsidRPr="00535B6A">
        <w:rPr>
          <w:rFonts w:ascii="宋体" w:hAnsi="宋体" w:cs="宋体" w:hint="eastAsia"/>
          <w:kern w:val="0"/>
          <w:szCs w:val="21"/>
        </w:rPr>
        <w:t>。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包括樂音的基本特徵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泛音列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純律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五度相生律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十二平均律等</w:t>
      </w:r>
      <w:r w:rsidRPr="00535B6A">
        <w:rPr>
          <w:rFonts w:ascii="宋体" w:hAnsi="宋体" w:cs="宋体" w:hint="eastAsia"/>
          <w:kern w:val="0"/>
          <w:szCs w:val="21"/>
        </w:rPr>
        <w:t>。</w:t>
      </w:r>
    </w:p>
    <w:p w:rsidR="00780ACF" w:rsidRPr="00535B6A" w:rsidRDefault="00780ACF" w:rsidP="00780ACF">
      <w:pPr>
        <w:adjustRightInd w:val="0"/>
        <w:snapToGrid w:val="0"/>
        <w:spacing w:line="336" w:lineRule="auto"/>
        <w:ind w:left="525" w:hangingChars="250" w:hanging="525"/>
        <w:rPr>
          <w:rFonts w:ascii="宋体" w:hAnsi="宋体" w:cs="宋体"/>
          <w:kern w:val="0"/>
          <w:szCs w:val="21"/>
        </w:rPr>
      </w:pP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（</w:t>
      </w:r>
      <w:r w:rsidRPr="00535B6A">
        <w:rPr>
          <w:rFonts w:eastAsia="PMingLiU"/>
          <w:kern w:val="0"/>
          <w:szCs w:val="21"/>
          <w:lang w:eastAsia="zh-TW"/>
        </w:rPr>
        <w:t>2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）記譜法</w:t>
      </w:r>
      <w:r w:rsidRPr="00535B6A">
        <w:rPr>
          <w:rFonts w:ascii="宋体" w:hAnsi="宋体" w:cs="宋体" w:hint="eastAsia"/>
          <w:kern w:val="0"/>
          <w:szCs w:val="21"/>
        </w:rPr>
        <w:t>。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包括各類譜號譜表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各種音符和休止符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鋼琴音域與音組劃分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音名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唱名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中央</w:t>
      </w:r>
      <w:r w:rsidRPr="00535B6A">
        <w:rPr>
          <w:rFonts w:ascii="宋体" w:eastAsia="PMingLiU" w:hAnsi="宋体" w:cs="宋体"/>
          <w:kern w:val="0"/>
          <w:szCs w:val="21"/>
          <w:lang w:eastAsia="zh-TW"/>
        </w:rPr>
        <w:t xml:space="preserve"> C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標準音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全音半音分類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等音等</w:t>
      </w:r>
      <w:r w:rsidRPr="00535B6A">
        <w:rPr>
          <w:rFonts w:ascii="宋体" w:hAnsi="宋体" w:cs="宋体" w:hint="eastAsia"/>
          <w:kern w:val="0"/>
          <w:szCs w:val="21"/>
        </w:rPr>
        <w:t>。</w:t>
      </w:r>
    </w:p>
    <w:p w:rsidR="00780ACF" w:rsidRPr="00535B6A" w:rsidRDefault="00780ACF" w:rsidP="00780ACF">
      <w:pPr>
        <w:adjustRightInd w:val="0"/>
        <w:snapToGrid w:val="0"/>
        <w:spacing w:line="336" w:lineRule="auto"/>
        <w:ind w:left="525" w:hangingChars="250" w:hanging="525"/>
        <w:rPr>
          <w:rFonts w:ascii="宋体" w:hAnsi="宋体" w:cs="宋体"/>
          <w:kern w:val="0"/>
          <w:szCs w:val="21"/>
        </w:rPr>
      </w:pP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（</w:t>
      </w:r>
      <w:r w:rsidRPr="00535B6A">
        <w:rPr>
          <w:rFonts w:eastAsia="PMingLiU"/>
          <w:kern w:val="0"/>
          <w:szCs w:val="21"/>
          <w:lang w:eastAsia="zh-TW"/>
        </w:rPr>
        <w:t>3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）音樂常用記號與術語</w:t>
      </w:r>
      <w:r w:rsidRPr="00535B6A">
        <w:rPr>
          <w:rFonts w:ascii="宋体" w:hAnsi="宋体" w:cs="宋体" w:hint="eastAsia"/>
          <w:kern w:val="0"/>
          <w:szCs w:val="21"/>
        </w:rPr>
        <w:t>。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包括速度力度記號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演奏法記號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省略記號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裝飾音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常用外文術語等</w:t>
      </w:r>
      <w:r w:rsidRPr="00535B6A">
        <w:rPr>
          <w:rFonts w:ascii="宋体" w:hAnsi="宋体" w:cs="宋体" w:hint="eastAsia"/>
          <w:kern w:val="0"/>
          <w:szCs w:val="21"/>
        </w:rPr>
        <w:t>。</w:t>
      </w:r>
    </w:p>
    <w:p w:rsidR="00780ACF" w:rsidRPr="00535B6A" w:rsidRDefault="00780ACF" w:rsidP="00780ACF">
      <w:pPr>
        <w:adjustRightInd w:val="0"/>
        <w:snapToGrid w:val="0"/>
        <w:spacing w:line="336" w:lineRule="auto"/>
        <w:ind w:left="525" w:hangingChars="250" w:hanging="525"/>
        <w:rPr>
          <w:rFonts w:ascii="宋体" w:hAnsi="宋体" w:cs="宋体"/>
          <w:kern w:val="0"/>
          <w:szCs w:val="21"/>
        </w:rPr>
      </w:pP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（</w:t>
      </w:r>
      <w:r w:rsidRPr="00535B6A">
        <w:rPr>
          <w:rFonts w:eastAsia="PMingLiU"/>
          <w:kern w:val="0"/>
          <w:szCs w:val="21"/>
          <w:lang w:eastAsia="zh-TW"/>
        </w:rPr>
        <w:t>4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）節奏節拍</w:t>
      </w:r>
      <w:r w:rsidRPr="00535B6A">
        <w:rPr>
          <w:rFonts w:ascii="宋体" w:hAnsi="宋体" w:cs="宋体" w:hint="eastAsia"/>
          <w:kern w:val="0"/>
          <w:szCs w:val="21"/>
        </w:rPr>
        <w:t>。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包括節奏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節拍強弱規律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拍子類別（單拍子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複拍子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混合拍子）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拍號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音值組合等</w:t>
      </w:r>
      <w:r w:rsidRPr="00535B6A">
        <w:rPr>
          <w:rFonts w:ascii="宋体" w:hAnsi="宋体" w:cs="宋体" w:hint="eastAsia"/>
          <w:kern w:val="0"/>
          <w:szCs w:val="21"/>
        </w:rPr>
        <w:t>。</w:t>
      </w:r>
    </w:p>
    <w:p w:rsidR="00780ACF" w:rsidRPr="00535B6A" w:rsidRDefault="00780ACF" w:rsidP="00780ACF">
      <w:pPr>
        <w:adjustRightInd w:val="0"/>
        <w:snapToGrid w:val="0"/>
        <w:spacing w:line="336" w:lineRule="auto"/>
        <w:ind w:left="525" w:hangingChars="250" w:hanging="525"/>
        <w:rPr>
          <w:rFonts w:ascii="宋体" w:hAnsi="宋体" w:cs="宋体"/>
          <w:kern w:val="0"/>
          <w:szCs w:val="21"/>
        </w:rPr>
      </w:pP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（</w:t>
      </w:r>
      <w:r w:rsidRPr="00535B6A">
        <w:rPr>
          <w:rFonts w:eastAsia="PMingLiU"/>
          <w:kern w:val="0"/>
          <w:szCs w:val="21"/>
          <w:lang w:eastAsia="zh-TW"/>
        </w:rPr>
        <w:t>5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）音程與和絃</w:t>
      </w:r>
      <w:r w:rsidRPr="00535B6A">
        <w:rPr>
          <w:rFonts w:ascii="宋体" w:hAnsi="宋体" w:cs="宋体" w:hint="eastAsia"/>
          <w:kern w:val="0"/>
          <w:szCs w:val="21"/>
        </w:rPr>
        <w:t>。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包括自然音程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變化音程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原位音程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轉位音程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等音程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複音程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協和音程的識別與構成；不協和音程及其在調式調性的解決；各種三和弦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七和絃及其轉位形式的識別與構成；調式調性作用下的和絃解決等</w:t>
      </w:r>
      <w:r w:rsidRPr="00535B6A">
        <w:rPr>
          <w:rFonts w:ascii="宋体" w:hAnsi="宋体" w:cs="宋体" w:hint="eastAsia"/>
          <w:kern w:val="0"/>
          <w:szCs w:val="21"/>
        </w:rPr>
        <w:t>。</w:t>
      </w:r>
    </w:p>
    <w:p w:rsidR="00780ACF" w:rsidRPr="00535B6A" w:rsidRDefault="00780ACF" w:rsidP="00780ACF">
      <w:pPr>
        <w:adjustRightInd w:val="0"/>
        <w:snapToGrid w:val="0"/>
        <w:spacing w:line="336" w:lineRule="auto"/>
        <w:ind w:left="525" w:hangingChars="250" w:hanging="525"/>
        <w:rPr>
          <w:rFonts w:ascii="宋体" w:hAnsi="宋体" w:cs="宋体"/>
          <w:kern w:val="0"/>
          <w:szCs w:val="21"/>
        </w:rPr>
      </w:pP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（</w:t>
      </w:r>
      <w:r w:rsidRPr="00535B6A">
        <w:rPr>
          <w:rFonts w:eastAsia="PMingLiU"/>
          <w:kern w:val="0"/>
          <w:szCs w:val="21"/>
          <w:lang w:eastAsia="zh-TW"/>
        </w:rPr>
        <w:t>6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）調式調性</w:t>
      </w:r>
      <w:r w:rsidRPr="00535B6A">
        <w:rPr>
          <w:rFonts w:ascii="宋体" w:hAnsi="宋体" w:cs="宋体" w:hint="eastAsia"/>
          <w:kern w:val="0"/>
          <w:szCs w:val="21"/>
        </w:rPr>
        <w:t>。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包括大小調式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民族調式及中古調式音階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調式音級名稱與功能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調與調號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調式變音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特性音程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調關係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半音階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旋律調式調性分析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旋律移調和譯譜等</w:t>
      </w:r>
      <w:r w:rsidRPr="00535B6A">
        <w:rPr>
          <w:rFonts w:ascii="宋体" w:hAnsi="宋体" w:cs="宋体" w:hint="eastAsia"/>
          <w:kern w:val="0"/>
          <w:szCs w:val="21"/>
        </w:rPr>
        <w:t>。</w:t>
      </w:r>
    </w:p>
    <w:p w:rsidR="00780ACF" w:rsidRPr="00535B6A" w:rsidRDefault="00780ACF" w:rsidP="00780ACF">
      <w:pPr>
        <w:adjustRightInd w:val="0"/>
        <w:snapToGrid w:val="0"/>
        <w:spacing w:line="336" w:lineRule="auto"/>
        <w:jc w:val="left"/>
        <w:rPr>
          <w:rFonts w:ascii="宋体" w:hAnsi="宋体" w:cs="宋体"/>
          <w:b/>
          <w:kern w:val="0"/>
          <w:szCs w:val="21"/>
          <w:lang w:eastAsia="zh-TW"/>
        </w:rPr>
      </w:pPr>
    </w:p>
    <w:p w:rsidR="00780ACF" w:rsidRPr="00535B6A" w:rsidRDefault="00780ACF" w:rsidP="00780ACF">
      <w:pPr>
        <w:adjustRightInd w:val="0"/>
        <w:snapToGrid w:val="0"/>
        <w:spacing w:line="336" w:lineRule="auto"/>
        <w:jc w:val="left"/>
        <w:rPr>
          <w:rFonts w:ascii="宋体" w:hAnsi="宋体" w:cs="宋体"/>
          <w:kern w:val="0"/>
          <w:szCs w:val="21"/>
        </w:rPr>
      </w:pPr>
      <w:r w:rsidRPr="00535B6A">
        <w:rPr>
          <w:rFonts w:eastAsia="PMingLiU"/>
          <w:b/>
          <w:kern w:val="0"/>
          <w:sz w:val="24"/>
          <w:lang w:eastAsia="zh-TW"/>
        </w:rPr>
        <w:t>B</w:t>
      </w:r>
      <w:r w:rsidRPr="00535B6A">
        <w:rPr>
          <w:rFonts w:ascii="宋体" w:eastAsia="PMingLiU" w:hAnsi="宋体" w:cs="宋体" w:hint="eastAsia"/>
          <w:b/>
          <w:kern w:val="0"/>
          <w:sz w:val="24"/>
          <w:lang w:eastAsia="zh-TW"/>
        </w:rPr>
        <w:t>級程度（採用標準化試卷形式）</w:t>
      </w:r>
    </w:p>
    <w:p w:rsidR="00780ACF" w:rsidRPr="00535B6A" w:rsidRDefault="00780ACF" w:rsidP="00780ACF">
      <w:pPr>
        <w:spacing w:line="360" w:lineRule="auto"/>
        <w:ind w:left="525" w:hangingChars="250" w:hanging="525"/>
        <w:rPr>
          <w:rFonts w:ascii="宋体" w:hAnsi="宋体" w:cs="宋体"/>
          <w:kern w:val="0"/>
          <w:szCs w:val="21"/>
        </w:rPr>
      </w:pP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lastRenderedPageBreak/>
        <w:t>（</w:t>
      </w:r>
      <w:r w:rsidRPr="00535B6A">
        <w:rPr>
          <w:rFonts w:ascii="宋体" w:eastAsia="PMingLiU" w:hAnsi="宋体" w:cs="宋体"/>
          <w:kern w:val="0"/>
          <w:szCs w:val="21"/>
          <w:lang w:eastAsia="zh-TW"/>
        </w:rPr>
        <w:t>1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）記譜法</w:t>
      </w:r>
      <w:r w:rsidRPr="00535B6A">
        <w:rPr>
          <w:rFonts w:ascii="宋体" w:hAnsi="宋体" w:cs="宋体" w:hint="eastAsia"/>
          <w:kern w:val="0"/>
          <w:szCs w:val="21"/>
        </w:rPr>
        <w:t>。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包括各類譜號譜表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各種音符和休止符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鋼琴音域與音組劃分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音名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唱名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全音半音分類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等音等</w:t>
      </w:r>
      <w:r w:rsidRPr="00535B6A">
        <w:rPr>
          <w:rFonts w:ascii="宋体" w:hAnsi="宋体" w:cs="宋体" w:hint="eastAsia"/>
          <w:kern w:val="0"/>
          <w:szCs w:val="21"/>
        </w:rPr>
        <w:t>。</w:t>
      </w:r>
    </w:p>
    <w:p w:rsidR="00780ACF" w:rsidRPr="00535B6A" w:rsidRDefault="00780ACF" w:rsidP="00780ACF">
      <w:pPr>
        <w:spacing w:line="360" w:lineRule="auto"/>
        <w:ind w:left="525" w:hangingChars="250" w:hanging="525"/>
        <w:rPr>
          <w:rFonts w:ascii="宋体" w:hAnsi="宋体" w:cs="宋体"/>
          <w:kern w:val="0"/>
          <w:szCs w:val="21"/>
        </w:rPr>
      </w:pP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（</w:t>
      </w:r>
      <w:r w:rsidRPr="00535B6A">
        <w:rPr>
          <w:rFonts w:ascii="宋体" w:eastAsia="PMingLiU" w:hAnsi="宋体" w:cs="宋体"/>
          <w:kern w:val="0"/>
          <w:szCs w:val="21"/>
          <w:lang w:eastAsia="zh-TW"/>
        </w:rPr>
        <w:t>2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）音樂常用記號與術語</w:t>
      </w:r>
      <w:r w:rsidRPr="00535B6A">
        <w:rPr>
          <w:rFonts w:ascii="宋体" w:hAnsi="宋体" w:cs="宋体" w:hint="eastAsia"/>
          <w:kern w:val="0"/>
          <w:szCs w:val="21"/>
        </w:rPr>
        <w:t>。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包括速度力度記號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反復記號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演奏法記號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省略記號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裝飾音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常用外文術語等</w:t>
      </w:r>
      <w:r w:rsidRPr="00535B6A">
        <w:rPr>
          <w:rFonts w:ascii="宋体" w:hAnsi="宋体" w:cs="宋体" w:hint="eastAsia"/>
          <w:kern w:val="0"/>
          <w:szCs w:val="21"/>
        </w:rPr>
        <w:t>。</w:t>
      </w:r>
    </w:p>
    <w:p w:rsidR="00780ACF" w:rsidRPr="00535B6A" w:rsidRDefault="00780ACF" w:rsidP="00780ACF">
      <w:pPr>
        <w:spacing w:line="360" w:lineRule="auto"/>
        <w:ind w:left="525" w:hangingChars="250" w:hanging="525"/>
        <w:rPr>
          <w:rFonts w:ascii="宋体" w:hAnsi="宋体" w:cs="宋体"/>
          <w:kern w:val="0"/>
          <w:szCs w:val="21"/>
        </w:rPr>
      </w:pP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（</w:t>
      </w:r>
      <w:r w:rsidRPr="00535B6A">
        <w:rPr>
          <w:rFonts w:ascii="宋体" w:eastAsia="PMingLiU" w:hAnsi="宋体" w:cs="宋体"/>
          <w:kern w:val="0"/>
          <w:szCs w:val="21"/>
          <w:lang w:eastAsia="zh-TW"/>
        </w:rPr>
        <w:t>3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）節奏節拍</w:t>
      </w:r>
      <w:r w:rsidRPr="00535B6A">
        <w:rPr>
          <w:rFonts w:ascii="宋体" w:hAnsi="宋体" w:cs="宋体" w:hint="eastAsia"/>
          <w:kern w:val="0"/>
          <w:szCs w:val="21"/>
        </w:rPr>
        <w:t>。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包括節奏概念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節拍強弱規律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拍子類別（單拍子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複拍子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混合拍子）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拍號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簡單的音值組合等</w:t>
      </w:r>
      <w:r w:rsidRPr="00535B6A">
        <w:rPr>
          <w:rFonts w:ascii="宋体" w:hAnsi="宋体" w:cs="宋体" w:hint="eastAsia"/>
          <w:kern w:val="0"/>
          <w:szCs w:val="21"/>
        </w:rPr>
        <w:t>。</w:t>
      </w:r>
    </w:p>
    <w:p w:rsidR="00780ACF" w:rsidRPr="00535B6A" w:rsidRDefault="00780ACF" w:rsidP="00780ACF">
      <w:pPr>
        <w:spacing w:line="360" w:lineRule="auto"/>
        <w:ind w:left="525" w:hangingChars="250" w:hanging="525"/>
        <w:rPr>
          <w:rFonts w:ascii="宋体" w:hAnsi="宋体" w:cs="宋体"/>
          <w:kern w:val="0"/>
          <w:szCs w:val="21"/>
        </w:rPr>
      </w:pP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（</w:t>
      </w:r>
      <w:r w:rsidRPr="00535B6A">
        <w:rPr>
          <w:rFonts w:ascii="宋体" w:eastAsia="PMingLiU" w:hAnsi="宋体" w:cs="宋体"/>
          <w:kern w:val="0"/>
          <w:szCs w:val="21"/>
          <w:lang w:eastAsia="zh-TW"/>
        </w:rPr>
        <w:t>4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）音程與和絃</w:t>
      </w:r>
      <w:r w:rsidRPr="00535B6A">
        <w:rPr>
          <w:rFonts w:ascii="宋体" w:hAnsi="宋体" w:cs="宋体" w:hint="eastAsia"/>
          <w:kern w:val="0"/>
          <w:szCs w:val="21"/>
        </w:rPr>
        <w:t>。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包括自然音程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變化音程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原位音程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轉位音程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等音程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單音程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複音程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協和音程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不協和音程的識別與構成；各種三和弦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七和絃及其轉位形式的識別與構成</w:t>
      </w:r>
      <w:r w:rsidRPr="00535B6A">
        <w:rPr>
          <w:rFonts w:ascii="宋体" w:hAnsi="宋体" w:cs="宋体" w:hint="eastAsia"/>
          <w:kern w:val="0"/>
          <w:szCs w:val="21"/>
        </w:rPr>
        <w:t>。</w:t>
      </w:r>
    </w:p>
    <w:p w:rsidR="00780ACF" w:rsidRPr="00535B6A" w:rsidRDefault="00780ACF" w:rsidP="00780ACF">
      <w:pPr>
        <w:spacing w:line="360" w:lineRule="auto"/>
        <w:ind w:left="525" w:hangingChars="250" w:hanging="525"/>
        <w:rPr>
          <w:rFonts w:ascii="宋体" w:hAnsi="宋体" w:cs="宋体"/>
          <w:kern w:val="0"/>
          <w:szCs w:val="21"/>
        </w:rPr>
      </w:pP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（</w:t>
      </w:r>
      <w:r w:rsidRPr="00535B6A">
        <w:rPr>
          <w:rFonts w:ascii="宋体" w:eastAsia="PMingLiU" w:hAnsi="宋体" w:cs="宋体"/>
          <w:kern w:val="0"/>
          <w:szCs w:val="21"/>
          <w:lang w:eastAsia="zh-TW"/>
        </w:rPr>
        <w:t>5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）調式調性</w:t>
      </w:r>
      <w:r w:rsidRPr="00535B6A">
        <w:rPr>
          <w:rFonts w:ascii="宋体" w:hAnsi="宋体" w:cs="宋体" w:hint="eastAsia"/>
          <w:kern w:val="0"/>
          <w:szCs w:val="21"/>
        </w:rPr>
        <w:t>。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包括五聲調式</w:t>
      </w:r>
      <w:r w:rsidRPr="00535B6A">
        <w:rPr>
          <w:rFonts w:ascii="宋体" w:hAnsi="宋体" w:cs="宋体" w:hint="eastAsia"/>
          <w:kern w:val="0"/>
          <w:szCs w:val="21"/>
        </w:rPr>
        <w:t>，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以及大小調的調式音級的標記與名稱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調與調號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調式變音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特性音程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半音階</w:t>
      </w:r>
      <w:r w:rsidRPr="00535B6A">
        <w:rPr>
          <w:rFonts w:ascii="宋体" w:hAnsi="宋体" w:cs="宋体" w:hint="eastAsia"/>
          <w:kern w:val="0"/>
          <w:szCs w:val="21"/>
        </w:rPr>
        <w:t>、</w:t>
      </w:r>
      <w:r w:rsidRPr="00535B6A">
        <w:rPr>
          <w:rFonts w:ascii="宋体" w:eastAsia="PMingLiU" w:hAnsi="宋体" w:cs="宋体" w:hint="eastAsia"/>
          <w:kern w:val="0"/>
          <w:szCs w:val="21"/>
          <w:lang w:eastAsia="zh-TW"/>
        </w:rPr>
        <w:t>簡單旋律的調式調性分析等</w:t>
      </w:r>
      <w:r w:rsidRPr="00535B6A">
        <w:rPr>
          <w:rFonts w:ascii="宋体" w:hAnsi="宋体" w:cs="宋体" w:hint="eastAsia"/>
          <w:kern w:val="0"/>
          <w:szCs w:val="21"/>
        </w:rPr>
        <w:t>。</w:t>
      </w:r>
    </w:p>
    <w:p w:rsidR="00780ACF" w:rsidRPr="00535B6A" w:rsidRDefault="00780ACF" w:rsidP="00780ACF">
      <w:pPr>
        <w:adjustRightInd w:val="0"/>
        <w:snapToGrid w:val="0"/>
        <w:spacing w:line="336" w:lineRule="auto"/>
        <w:jc w:val="left"/>
        <w:rPr>
          <w:rFonts w:ascii="宋体" w:hAnsi="宋体"/>
          <w:b/>
          <w:sz w:val="24"/>
          <w:shd w:val="pct15" w:color="auto" w:fill="FFFFFF"/>
        </w:rPr>
      </w:pPr>
    </w:p>
    <w:p w:rsidR="00780ACF" w:rsidRPr="00535B6A" w:rsidRDefault="00780ACF" w:rsidP="00780ACF">
      <w:pPr>
        <w:adjustRightInd w:val="0"/>
        <w:snapToGrid w:val="0"/>
        <w:spacing w:line="336" w:lineRule="auto"/>
        <w:jc w:val="left"/>
        <w:rPr>
          <w:rFonts w:ascii="宋体" w:hAnsi="宋体"/>
          <w:b/>
          <w:sz w:val="24"/>
        </w:rPr>
      </w:pPr>
      <w:r w:rsidRPr="00535B6A">
        <w:rPr>
          <w:rFonts w:ascii="宋体" w:eastAsia="PMingLiU" w:hAnsi="宋体" w:hint="eastAsia"/>
          <w:b/>
          <w:sz w:val="24"/>
          <w:lang w:eastAsia="zh-TW"/>
        </w:rPr>
        <w:t>參考教材</w:t>
      </w:r>
    </w:p>
    <w:p w:rsidR="00780ACF" w:rsidRPr="00535B6A" w:rsidRDefault="00780ACF" w:rsidP="00780ACF">
      <w:pPr>
        <w:adjustRightInd w:val="0"/>
        <w:snapToGrid w:val="0"/>
        <w:spacing w:line="336" w:lineRule="auto"/>
        <w:jc w:val="left"/>
        <w:rPr>
          <w:rFonts w:ascii="宋体" w:hAnsi="宋体"/>
          <w:szCs w:val="21"/>
        </w:rPr>
      </w:pPr>
      <w:r w:rsidRPr="00535B6A">
        <w:rPr>
          <w:rFonts w:ascii="宋体" w:eastAsia="PMingLiU" w:hAnsi="宋体" w:hint="eastAsia"/>
          <w:szCs w:val="21"/>
          <w:lang w:eastAsia="zh-TW"/>
        </w:rPr>
        <w:t>《音樂理論基礎》</w:t>
      </w:r>
      <w:r w:rsidRPr="00535B6A">
        <w:rPr>
          <w:rFonts w:ascii="宋体" w:eastAsia="PMingLiU" w:hAnsi="宋体"/>
          <w:szCs w:val="21"/>
          <w:lang w:eastAsia="zh-TW"/>
        </w:rPr>
        <w:t xml:space="preserve">                     </w:t>
      </w:r>
      <w:r w:rsidRPr="00535B6A">
        <w:rPr>
          <w:rFonts w:ascii="宋体" w:eastAsia="PMingLiU" w:hAnsi="宋体" w:hint="eastAsia"/>
          <w:szCs w:val="21"/>
          <w:lang w:eastAsia="zh-TW"/>
        </w:rPr>
        <w:t>李重光編</w:t>
      </w:r>
      <w:r w:rsidRPr="00535B6A">
        <w:rPr>
          <w:rFonts w:ascii="宋体" w:eastAsia="PMingLiU" w:hAnsi="宋体"/>
          <w:szCs w:val="21"/>
          <w:lang w:eastAsia="zh-TW"/>
        </w:rPr>
        <w:t xml:space="preserve">                  </w:t>
      </w:r>
      <w:r w:rsidRPr="00535B6A">
        <w:rPr>
          <w:rFonts w:ascii="宋体" w:eastAsia="PMingLiU" w:hAnsi="宋体" w:hint="eastAsia"/>
          <w:szCs w:val="21"/>
          <w:lang w:eastAsia="zh-TW"/>
        </w:rPr>
        <w:t>人民音樂出版社</w:t>
      </w:r>
    </w:p>
    <w:p w:rsidR="00780ACF" w:rsidRPr="00535B6A" w:rsidRDefault="00780ACF" w:rsidP="00780ACF">
      <w:pPr>
        <w:adjustRightInd w:val="0"/>
        <w:snapToGrid w:val="0"/>
        <w:spacing w:line="336" w:lineRule="auto"/>
        <w:jc w:val="left"/>
        <w:rPr>
          <w:rFonts w:ascii="宋体" w:hAnsi="宋体"/>
          <w:szCs w:val="21"/>
        </w:rPr>
      </w:pPr>
      <w:r w:rsidRPr="00535B6A">
        <w:rPr>
          <w:rFonts w:ascii="Simsun" w:eastAsia="PMingLiU" w:hAnsi="Simsun" w:hint="eastAsia"/>
          <w:szCs w:val="21"/>
          <w:lang w:eastAsia="zh-TW"/>
        </w:rPr>
        <w:t>《基本樂理教程》（中國藝術教育大系音樂卷）童忠良著</w:t>
      </w:r>
      <w:r w:rsidRPr="00535B6A">
        <w:rPr>
          <w:rFonts w:ascii="Simsun" w:eastAsia="PMingLiU" w:hAnsi="Simsun"/>
          <w:szCs w:val="21"/>
          <w:lang w:eastAsia="zh-TW"/>
        </w:rPr>
        <w:t xml:space="preserve">              </w:t>
      </w:r>
      <w:r w:rsidRPr="00535B6A">
        <w:rPr>
          <w:rFonts w:ascii="Simsun" w:eastAsia="PMingLiU" w:hAnsi="Simsun" w:hint="eastAsia"/>
          <w:szCs w:val="21"/>
          <w:lang w:eastAsia="zh-TW"/>
        </w:rPr>
        <w:t>上海音樂出版社</w:t>
      </w:r>
    </w:p>
    <w:p w:rsidR="00780ACF" w:rsidRPr="00535B6A" w:rsidRDefault="00780ACF" w:rsidP="00780ACF">
      <w:pPr>
        <w:adjustRightInd w:val="0"/>
        <w:snapToGrid w:val="0"/>
        <w:spacing w:line="560" w:lineRule="exact"/>
        <w:rPr>
          <w:rFonts w:ascii="黑体" w:eastAsia="黑体" w:hAnsi="黑体" w:cs="黑体" w:hint="eastAsia"/>
          <w:bCs/>
          <w:szCs w:val="32"/>
        </w:rPr>
      </w:pPr>
    </w:p>
    <w:p w:rsidR="00780ACF" w:rsidRPr="00535B6A" w:rsidRDefault="00780ACF" w:rsidP="00780ACF">
      <w:pPr>
        <w:adjustRightInd w:val="0"/>
        <w:snapToGrid w:val="0"/>
        <w:spacing w:line="560" w:lineRule="exact"/>
        <w:rPr>
          <w:rFonts w:ascii="黑体" w:eastAsia="黑体" w:hAnsi="黑体" w:cs="黑体" w:hint="eastAsia"/>
          <w:bCs/>
          <w:szCs w:val="32"/>
        </w:rPr>
      </w:pPr>
    </w:p>
    <w:p w:rsidR="00780ACF" w:rsidRPr="00535B6A" w:rsidRDefault="00780ACF" w:rsidP="00780ACF">
      <w:pPr>
        <w:adjustRightInd w:val="0"/>
        <w:snapToGrid w:val="0"/>
        <w:spacing w:line="560" w:lineRule="exact"/>
        <w:rPr>
          <w:rFonts w:ascii="黑体" w:eastAsia="黑体" w:hAnsi="黑体" w:cs="黑体" w:hint="eastAsia"/>
          <w:bCs/>
          <w:szCs w:val="32"/>
        </w:rPr>
      </w:pPr>
    </w:p>
    <w:p w:rsidR="00780ACF" w:rsidRPr="00535B6A" w:rsidRDefault="00780ACF" w:rsidP="00780ACF">
      <w:pPr>
        <w:adjustRightInd w:val="0"/>
        <w:snapToGrid w:val="0"/>
        <w:spacing w:line="560" w:lineRule="exact"/>
        <w:rPr>
          <w:rFonts w:ascii="黑体" w:eastAsia="黑体" w:hAnsi="黑体" w:cs="黑体" w:hint="eastAsia"/>
          <w:bCs/>
          <w:szCs w:val="32"/>
        </w:rPr>
      </w:pPr>
    </w:p>
    <w:p w:rsidR="00780ACF" w:rsidRPr="00535B6A" w:rsidRDefault="00780ACF" w:rsidP="00780ACF">
      <w:pPr>
        <w:adjustRightInd w:val="0"/>
        <w:snapToGrid w:val="0"/>
        <w:spacing w:line="560" w:lineRule="exact"/>
        <w:rPr>
          <w:rFonts w:ascii="黑体" w:eastAsia="黑体" w:hAnsi="黑体" w:cs="黑体" w:hint="eastAsia"/>
          <w:bCs/>
          <w:szCs w:val="32"/>
        </w:rPr>
      </w:pPr>
    </w:p>
    <w:p w:rsidR="00780ACF" w:rsidRPr="00535B6A" w:rsidRDefault="00780ACF" w:rsidP="00780ACF">
      <w:pPr>
        <w:adjustRightInd w:val="0"/>
        <w:snapToGrid w:val="0"/>
        <w:spacing w:line="560" w:lineRule="exact"/>
        <w:rPr>
          <w:rFonts w:ascii="黑体" w:eastAsia="黑体" w:hAnsi="黑体" w:cs="黑体" w:hint="eastAsia"/>
          <w:bCs/>
          <w:szCs w:val="32"/>
        </w:rPr>
      </w:pPr>
    </w:p>
    <w:p w:rsidR="00780ACF" w:rsidRPr="00535B6A" w:rsidRDefault="00780ACF" w:rsidP="00780ACF">
      <w:pPr>
        <w:adjustRightInd w:val="0"/>
        <w:snapToGrid w:val="0"/>
        <w:spacing w:line="560" w:lineRule="exact"/>
        <w:rPr>
          <w:rFonts w:ascii="黑体" w:eastAsia="黑体" w:hAnsi="黑体" w:cs="黑体" w:hint="eastAsia"/>
          <w:bCs/>
          <w:szCs w:val="32"/>
        </w:rPr>
      </w:pPr>
    </w:p>
    <w:p w:rsidR="00780ACF" w:rsidRPr="00535B6A" w:rsidRDefault="00780ACF" w:rsidP="00780ACF">
      <w:pPr>
        <w:adjustRightInd w:val="0"/>
        <w:snapToGrid w:val="0"/>
        <w:spacing w:line="560" w:lineRule="exact"/>
        <w:rPr>
          <w:rFonts w:ascii="黑体" w:eastAsia="黑体" w:hAnsi="黑体" w:cs="黑体" w:hint="eastAsia"/>
          <w:bCs/>
          <w:szCs w:val="32"/>
        </w:rPr>
      </w:pPr>
    </w:p>
    <w:p w:rsidR="00780ACF" w:rsidRPr="00535B6A" w:rsidRDefault="00780ACF" w:rsidP="00780ACF">
      <w:pPr>
        <w:adjustRightInd w:val="0"/>
        <w:snapToGrid w:val="0"/>
        <w:spacing w:line="560" w:lineRule="exact"/>
        <w:rPr>
          <w:rFonts w:ascii="黑体" w:eastAsia="黑体" w:hAnsi="黑体" w:cs="黑体" w:hint="eastAsia"/>
          <w:bCs/>
          <w:szCs w:val="32"/>
        </w:rPr>
      </w:pPr>
    </w:p>
    <w:p w:rsidR="00780ACF" w:rsidRPr="00535B6A" w:rsidRDefault="00780ACF" w:rsidP="00780ACF">
      <w:pPr>
        <w:adjustRightInd w:val="0"/>
        <w:snapToGrid w:val="0"/>
        <w:spacing w:line="560" w:lineRule="exact"/>
        <w:rPr>
          <w:rFonts w:ascii="黑体" w:eastAsia="黑体" w:hAnsi="黑体" w:cs="黑体" w:hint="eastAsia"/>
          <w:bCs/>
          <w:szCs w:val="32"/>
        </w:rPr>
      </w:pPr>
    </w:p>
    <w:p w:rsidR="00780ACF" w:rsidRPr="00535B6A" w:rsidRDefault="00780ACF" w:rsidP="00780ACF">
      <w:pPr>
        <w:adjustRightInd w:val="0"/>
        <w:snapToGrid w:val="0"/>
        <w:spacing w:line="560" w:lineRule="exact"/>
        <w:rPr>
          <w:rFonts w:ascii="黑体" w:eastAsia="黑体" w:hAnsi="黑体" w:cs="黑体" w:hint="eastAsia"/>
          <w:bCs/>
          <w:szCs w:val="32"/>
        </w:rPr>
      </w:pPr>
    </w:p>
    <w:p w:rsidR="00780ACF" w:rsidRPr="00535B6A" w:rsidRDefault="00780ACF" w:rsidP="00780ACF">
      <w:pPr>
        <w:adjustRightInd w:val="0"/>
        <w:snapToGrid w:val="0"/>
        <w:spacing w:line="560" w:lineRule="exact"/>
        <w:rPr>
          <w:rFonts w:ascii="黑体" w:eastAsia="黑体" w:hAnsi="黑体" w:cs="黑体" w:hint="eastAsia"/>
          <w:bCs/>
          <w:szCs w:val="32"/>
        </w:rPr>
      </w:pPr>
    </w:p>
    <w:p w:rsidR="00780ACF" w:rsidRPr="00535B6A" w:rsidRDefault="00780ACF" w:rsidP="00780ACF">
      <w:pPr>
        <w:adjustRightInd w:val="0"/>
        <w:snapToGrid w:val="0"/>
        <w:spacing w:line="560" w:lineRule="exact"/>
        <w:rPr>
          <w:rFonts w:ascii="黑体" w:eastAsia="黑体" w:hAnsi="黑体" w:cs="黑体" w:hint="eastAsia"/>
          <w:bCs/>
          <w:szCs w:val="32"/>
        </w:rPr>
      </w:pPr>
    </w:p>
    <w:p w:rsidR="00780ACF" w:rsidRPr="00535B6A" w:rsidRDefault="00780ACF" w:rsidP="00780ACF">
      <w:pPr>
        <w:adjustRightInd w:val="0"/>
        <w:snapToGrid w:val="0"/>
        <w:spacing w:line="560" w:lineRule="exact"/>
        <w:rPr>
          <w:rFonts w:ascii="黑体" w:eastAsia="黑体" w:hAnsi="黑体" w:cs="黑体" w:hint="eastAsia"/>
          <w:bCs/>
          <w:szCs w:val="32"/>
        </w:rPr>
      </w:pPr>
    </w:p>
    <w:p w:rsidR="00780ACF" w:rsidRPr="003C3A44" w:rsidRDefault="00780ACF" w:rsidP="00780ACF"/>
    <w:p w:rsidR="00BE518D" w:rsidRPr="00780ACF" w:rsidRDefault="00BE518D"/>
    <w:sectPr w:rsidR="00BE518D" w:rsidRPr="00780ACF" w:rsidSect="00BE5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0ACF"/>
    <w:rsid w:val="00780ACF"/>
    <w:rsid w:val="00BE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C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804</Characters>
  <Application>Microsoft Office Word</Application>
  <DocSecurity>0</DocSecurity>
  <Lines>6</Lines>
  <Paragraphs>1</Paragraphs>
  <ScaleCrop>false</ScaleCrop>
  <Company>Microsoft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2018-02-06T10:28:00Z</dcterms:created>
  <dcterms:modified xsi:type="dcterms:W3CDTF">2018-02-06T10:29:00Z</dcterms:modified>
</cp:coreProperties>
</file>